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5"/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Style w:val="5"/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5"/>
          <w:rFonts w:hint="eastAsia" w:ascii="宋体" w:hAnsi="宋体" w:eastAsia="宋体" w:cs="宋体"/>
          <w:b/>
          <w:bCs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bCs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Style w:val="5"/>
          <w:rFonts w:hint="eastAsia" w:ascii="宋体" w:hAnsi="宋体" w:eastAsia="宋体" w:cs="宋体"/>
          <w:b/>
          <w:bCs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caps w:val="0"/>
          <w:color w:val="000000"/>
          <w:spacing w:val="0"/>
          <w:sz w:val="44"/>
          <w:szCs w:val="44"/>
          <w:shd w:val="clear" w:fill="FFFFFF"/>
        </w:rPr>
        <w:t>年</w:t>
      </w:r>
      <w:r>
        <w:rPr>
          <w:rStyle w:val="5"/>
          <w:rFonts w:hint="eastAsia" w:ascii="宋体" w:hAnsi="宋体" w:eastAsia="宋体" w:cs="宋体"/>
          <w:b/>
          <w:bCs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山东省</w:t>
      </w:r>
      <w:r>
        <w:rPr>
          <w:rStyle w:val="5"/>
          <w:rFonts w:hint="eastAsia" w:ascii="宋体" w:hAnsi="宋体" w:eastAsia="宋体" w:cs="宋体"/>
          <w:b/>
          <w:bCs/>
          <w:caps w:val="0"/>
          <w:color w:val="000000"/>
          <w:spacing w:val="0"/>
          <w:sz w:val="44"/>
          <w:szCs w:val="44"/>
          <w:shd w:val="clear" w:fill="FFFFFF"/>
        </w:rPr>
        <w:t>老年太极拳之乡交流活动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000000"/>
          <w:spacing w:val="0"/>
          <w:sz w:val="44"/>
          <w:szCs w:val="44"/>
          <w:shd w:val="clear" w:fill="FFFFFF"/>
        </w:rPr>
        <w:t>规程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一、主办单位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山东省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老年人体育协会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山东省老年人体育活动管理服务中心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、承办单位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淄博市体育局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淄博市体育总会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博山区人民政府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淄博市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老年人体育协会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淄博原山集团有限公司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　　三、协办单位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博山区教育和体育局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淄博市武术运动协会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淄博市东岳太极拳研究会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淄博市孙氏太极拳研究会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四、时间与地点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日在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淄博市博山区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举行。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日报到，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日-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日比赛，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早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餐后离会。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五、项目设置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(一)集体项目(配乐，自备U盘，召开联席会、技术会时交大会；所配音乐不得有歌词伴唱和说唱的曲目)：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1.拳术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(1)24 式、42式、太极拳(八法五步)和各式太极拳规定套路；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(2)老年26式陈、杨、吴、武、孙、和氏太极拳规定套路。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(3)陈式、杨式、吴式、武式、孙式、和式太极拳传统套路及其他太极拳套路。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2.器械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(1)42式、32式太极剑规定套路。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(2) 各式太极器械传统套路。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(二)个人项目(男女分组、不得配乐)：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1.拳术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(1)24 式、42式、太极拳(八法五步)和各式太极拳规定套路；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(2)老年26式陈、杨、吴、武、孙、和氏太极拳规定套路。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(3)陈式、杨式、吴式、武式、孙式、和式太极拳传统套路及其他太极拳套路。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2.器械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(1)42式、32式太极剑规定套路。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(2) 各式太极器械传统套路。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六、参加办法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(一)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省级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老年太极拳之乡和正在创建的单位，可报1-2支队伍参加；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获得首批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全国老年太极拳之乡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的县（市、区）须派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1-2支队伍参加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(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)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运动员年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龄：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男55岁(196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年前出生)至70岁(195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年后出生)，女50岁(197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年前出生)至70岁(195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年后出生)。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(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)各代表队报领队1人、教练1人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（也可参赛队员兼任）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、集体项目男、女队员6—1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人(可兼报个人项目，个人项目也可单独报)，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个人项目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最多报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人(男、女各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人)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符合参赛队员资格的教练可兼队员。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(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)集体项目：每队可报1项太极拳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1项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太极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器械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；集体项目不少于6人上场，每少1人扣0.5分。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(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)个人项目：每人最多可报1项太极拳、1项太极器械，可兼报集体项目。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(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)参加人员以本人自愿、亲属支持为原则，须经县级以上医院检查适合此项目运动者，应购买人身意外伤害保险、突发急性病身故保险及附加意外医疗保险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各单位报到时须提供本人和亲属签字的《自愿参加责任书》、保单原件，由大会组委会审核。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、交流办法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(一)参照国家体育总局印制的《传统武术竞赛规则》(2012)及相关补充规定。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(二)规定项目中陈式、杨式、吴式、孙式、武式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42式太极拳和42式太极剑分别采用原国家体委武术研究院编印的《太极拳竞赛套路》、《四式太极拳竞赛套路》、1996年编印的《武式太极拳竞赛套路》、1991年编印的《太极剑竞赛套路》以及中国老年人体协太极拳专委会认定推广的老年26式各式太极拳规定套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(三)集体项目，拳术和器械均不超过5分钟，须配乐(自备U盘)，音乐伴奏中不能出现说唱等内容，若出现说唱裁判长总扣0.1分，未配乐者裁判长总扣0.1分。比赛中，由本队教练或领队负责播放音乐。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(四)个人项目，男女分组、不得配乐。拳术完成套路时间不超过5分钟，演练至4分钟时，裁判长鸣哨提示；器械完成套路时间不超过3分钟，演练至2分钟时，裁判长鸣哨提示。规定套路项目必须按照规定套路顺序演练，不得增减和改变动作，裁判长吹哨之后的剩余套路未完成不予扣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(五)可着民族服装参赛，集体项目必须着装统一。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(六)各项目的出场顺序由编排组提前电脑抽签排定。凡报名后因特殊情况确需更换的人员和项目，均直接安排在相关项目组别的最后一位上场。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(七)报到后，请各队认真阅读秩序册内容，若对编排项目、姓名有异议者，务必于联席会、技术会之前，由本人或领队、教练填写申请表并签字(并注明签字人联系电话)递交大会组委会竞赛部，经编排记录长审查，若提出申请内容与原始报名表相符者，予以更改；与原始报名表不相符者，不予更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录取与奖励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各项各组别分别录取60%优胜奖、40%优秀奖，颁发匾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牌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和证书。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设体育道德风尚奖，颁发给贯彻大会宗旨、遵守大会规定、展示出良好道德风尚的代表队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　九、仲裁和裁判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(一)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仲裁委主任、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裁判长、副裁判长和部分裁判员由主办单位选派。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(二)裁判员不足部分由承办单位选聘。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十、经费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　(一) 各队差旅费自理。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(二) 比赛期间食宿由大会统一安排，(如需单间请在报名表上备注，并自付房间差价)，食宿费每人每天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元，共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天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合计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300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元，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不足部分由大会承担。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提前报到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逾期离会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或超编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人员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费用自理。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十</w:t>
      </w: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、报名</w:t>
      </w: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与报到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(一)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报名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请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参加交流活动的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各单位于202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日前以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电子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版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形式将报名表发送到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主办、承办单位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省老年人体育协会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联系人：韩 兵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杜常帅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电  话：0531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6137923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1  61379221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邮  箱:sdlntxywk@163.com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淄博市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老年人体育协会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　联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人：徐连国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臧新元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电话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(微信同号)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15064314155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18560810811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邮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箱：Lntxmsc@sina.com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请各单位于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日前将参加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比赛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人员抵离信息表上报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省老年人体育活动管理服务中心和淄博市老体协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，以便安排接送站。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 xml:space="preserve"> 报名后不允许更换队员，如有特殊原因确需更换的，须在报到时由组队单位向大会组委会提交正式书面申请 (盖章原件)，经研究同意方可更换。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报到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请各代表队于</w:t>
      </w: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日到山东原山艰苦创业教育基地淄博原山宾馆—学员公寓（淄博市博山区石炭坞如月湖湿</w:t>
      </w: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地公园）报到，</w:t>
      </w: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日晚8点召开</w:t>
      </w: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领队教练</w:t>
      </w: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联席会</w:t>
      </w: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。总台电话：</w:t>
      </w: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0533-4506688；联系人：许红：</w:t>
      </w: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13371581662</w:t>
      </w: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报到时须向大会组委会提供身份证原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件、健康证明、保单原件或证明进行审核，未能提供上述材料者，不允许参加本次交流活动。如在比赛期间出现意外情况，由参加单位和个人负责。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（三）交通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1、汽车站乘车路线：抵达博山长途汽车站后，可选择正规出租车打车至原山艰苦创业教育基地学员公寓，打车费用约20元。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2、火车站乘车路线：乘高铁到淄博火车站，转乘“张店—博山”大巴至博山站，大会在博山站安排接站。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会务接站联系人：张群  15315335915；0533-4506655。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3、高速自驾车路线：滨莱高速博山（原山）出口下高速，转南外环路向东行驶约5.5公里到达如月湖湿地公园，右转进入奋斗路行驶约2公里到达学员公寓。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十二、大会在场地和驻地配备医生。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十三、未尽事宜，另行通知。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19E33387"/>
    <w:rsid w:val="19E3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2023-04-19T09:52:00Z</dcterms:created>
  <dc:creator> </dc:creator>
  <cp:lastModifiedBy> </cp:lastModifiedBy>
  <dcterms:modified xsi:type="dcterms:W3CDTF">2023-04-19T09:53:00Z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4B89F84C93254480BD4A6E6246D3361D</vt:lpwstr>
  </property>
</Properties>
</file>