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44"/>
          <w:szCs w:val="44"/>
        </w:rPr>
        <w:t>年山东省老年人羽毛球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比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44"/>
          <w:szCs w:val="44"/>
        </w:rPr>
        <w:t>赛竞赛规程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/>
          <w:b/>
          <w:i w:val="0"/>
          <w:caps w:val="0"/>
          <w:color w:val="000000"/>
          <w:spacing w:val="0"/>
          <w:w w:val="100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一、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山东省老年人体育协会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山东省老年人体育活动管理服务中心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淄博市老年人体育协会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桓台县教育和体育局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桓台县新时代文明实践服务中心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桓台县老年人体育协会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运营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  <w:t>单位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淄博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星鳄体育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俱乐部有限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  <w:t>四、竞赛时间、地点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日至1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淄博市桓台县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新时代文明实践中心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体育馆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  <w:t>五、竞赛项目及年龄规定</w:t>
      </w:r>
    </w:p>
    <w:p>
      <w:pPr>
        <w:keepNext w:val="0"/>
        <w:keepLines w:val="0"/>
        <w:pageBreakBefore w:val="0"/>
        <w:widowControl w:val="0"/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竞赛项目：男子双打、女子双打、混合双打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混合团体（依单项赛成绩记算团体总分）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年龄规定：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男子、女子A组  61岁－70岁(195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年1月1日至196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年12月31日前出生)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男子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组  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岁—60岁（196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年1月1日至196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年12月31日前出生)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FF000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女子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组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岁－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(196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年1月1日至197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年12月31日前出生)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六、参赛单位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 各市、大企业、省直机关、省烟草局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老体协、老体中心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七、参加办法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(一)每单位限报1队，承办单位可多报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(二)每队可报领队1人，教练员1人，运动员男、女各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人，每个项目每队限报1对，队员不得兼项。符合年龄规定的领队与教练员可兼运动员，但占运动员名额，报名时需要标注。</w:t>
      </w:r>
    </w:p>
    <w:p>
      <w:pPr>
        <w:keepNext w:val="0"/>
        <w:keepLines w:val="0"/>
        <w:pageBreakBefore w:val="0"/>
        <w:widowControl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（三）参赛运动员以本人自愿、亲属支持为原则，经县级以上医院检查证明身体健康适合此项运动者。参赛人员应购买人身意外伤害保险，突发急性病身故保险、附加意外医疗等保险。</w:t>
      </w:r>
    </w:p>
    <w:p>
      <w:pPr>
        <w:keepNext w:val="0"/>
        <w:keepLines w:val="0"/>
        <w:pageBreakBefore w:val="0"/>
        <w:widowControl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(四）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 xml:space="preserve">根据疫情防控工作要求，比赛人员应如实填写健康筛查信息采集表、自我健康监测记录表并进行健康码认证。报到时需出示48小时核酸检测报告证明，体温超过37.3者以及来自中高风险地区人员等不得参加比赛。   </w:t>
      </w:r>
    </w:p>
    <w:p>
      <w:pPr>
        <w:keepNext w:val="0"/>
        <w:keepLines w:val="0"/>
        <w:pageBreakBefore w:val="0"/>
        <w:widowControl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（五）对在报名或参加比赛中违反资格规定者，一经查实，将取消参赛资格和获奖奖项。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八、竞赛办法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（一）比赛执行中国羽毛球协会审定的最新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羽毛球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规则及修改部分。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（二）不得跨组参赛，不得降组参赛。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（三）第一阶段进行分组循环赛，第二阶段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交叉淘汰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，计分方法根据报名情况决定。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（四）根据单项比赛成绩计算团体积分，各单项的积分分值根据报名情况确定。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（五）比赛用球：亚狮龙5号比赛用球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、仲裁和裁判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（一）大会设仲裁委员会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（二）仲裁委员会、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技术代表和裁判员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由主办单位选派，不足部分由承办单位选调。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十、录取名次和奖励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按照团体总分设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优胜奖、优秀奖(比例为60%优胜奖、40%优秀奖)。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十一、经费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(一)各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队差旅费自理，食宿费每人每天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0元，不足部分由大会承担。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（二）提前报到、推迟离会及超编人员所有的费用自理。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十二、报名与报到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 (一)报名：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各单位将报名表于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日前发电子邮件至省老年人体育协会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和淄博星鳄体育俱乐部有限公司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01" w:leftChars="286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山东省老年人体育协会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联系人：韩  兵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电  话：0531--61379236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</w:rPr>
        <w:t xml:space="preserve">邮  箱：sdlntxywk@163.com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淄博星鳄体育俱乐部有限公司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常瑞玉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13754776154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changruiyu@163.com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(二)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w w:val="100"/>
          <w:sz w:val="32"/>
          <w:szCs w:val="32"/>
        </w:rPr>
        <w:t>报到：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报到时间：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17:00前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报到（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0召开领队教练员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联席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会议）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报到地点:淄博盛圆国际酒店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地址：淄博市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桓台县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柳泉北路果里大道336号，电话：0533-8106666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济南遥墙机场--盛圆国际酒店：乘坐机场大巴，至淄博鲁中城市候机楼(国贸大厦)（预计2小时30分钟），然后坐出租车至盛圆国际酒店（预计30分钟）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济南遥墙机场--盛圆国际酒店：乘坐出租车，到盛圆国际酒店（预计1小时50分钟）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淄博火车站--盛圆国际酒店：乘坐251路公交车至盛圆国际酒店站（预计1小时30分钟）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淄博火车站--盛圆国际酒店：乘坐出租车至盛圆国际酒店（预计40分钟）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淄博高铁站（北站）--盛圆国际酒店：乘坐出租车至盛圆国际酒店（预计10分钟）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济青高速路口--盛圆国际酒店：乘坐出租车至盛圆国际酒店（预计20分钟）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济青高速路口--盛圆国际酒店：自驾车至盛圆国际酒店，济青高速淄博路口下沿金晶大道向北行驶约6公里左转进入果里大道，沿果里大道行驶2640米到达终点。（预计30分钟）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drawing>
          <wp:inline distT="0" distB="0" distL="114300" distR="114300">
            <wp:extent cx="5267325" cy="2705100"/>
            <wp:effectExtent l="0" t="0" r="9525" b="0"/>
            <wp:docPr id="2" name="图片 2" descr="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位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报到时须向大会组委会提供第二代身份证原件、48小时内的核酸检测证明、实时生成的行程码、保单原件、医院检查证明、队员本人和直系亲属签名的《自愿参加责任书》进行审核。未能提供上述材料者，不允许参加比赛，如在比赛中出现意外情况，组委会不承担任何责任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十三、安全和防疫要求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（一）加强联防联控。逐一排查场地保障、器材配置、交通食宿、现场秩序等各个安全隐患风险点，并完善疫情防控措施。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（二）加强人员管控。对所有参与人员进行风险评估和实名制管理，实行“健康码”绿码准入制度。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（三）加强防控力量。根据赛事和活动规模、项目特点、人群密度，配备足够数量的医护人员和防护物资。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（四）控制观众数量。比赛现场，观众观赛要求间隔就坐，总数不超过观众席容量的50%，视疫情风险等级和防控工作情况，动态调整比例。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（五）优化赛事组织。简化开闭幕式、颁奖仪式等环节，合理规划人员流线，采取观众区与运动队隔离措施，避免人员交叉。 </w:t>
      </w:r>
    </w:p>
    <w:p>
      <w:pPr>
        <w:keepLines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、未尽事宜，另行通知。</w:t>
      </w:r>
    </w:p>
    <w:p>
      <w:pPr>
        <w:keepLines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、本规程由山东省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老年人体育活动管理服务中心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负责解释。</w:t>
      </w:r>
    </w:p>
    <w:p>
      <w:pPr>
        <w:pStyle w:val="2"/>
        <w:snapToGrid/>
        <w:spacing w:before="0" w:beforeAutospacing="0" w:after="0" w:afterAutospacing="0" w:line="640" w:lineRule="exact"/>
        <w:jc w:val="left"/>
        <w:textAlignment w:val="baseline"/>
        <w:rPr>
          <w:rFonts w:hint="eastAsia"/>
          <w:b w:val="0"/>
          <w:bCs w:val="0"/>
          <w:i w:val="0"/>
          <w:caps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       </w:t>
      </w:r>
    </w:p>
    <w:p>
      <w:pPr>
        <w:snapToGrid/>
        <w:spacing w:before="0" w:beforeAutospacing="0" w:after="0" w:afterAutospacing="0" w:line="240" w:lineRule="auto"/>
        <w:ind w:left="601" w:leftChars="286"/>
        <w:jc w:val="both"/>
        <w:textAlignment w:val="baseline"/>
        <w:rPr>
          <w:rFonts w:ascii="宋体" w:hAnsi="宋体"/>
          <w:b w:val="0"/>
          <w:bCs w:val="0"/>
          <w:i w:val="0"/>
          <w:caps w:val="0"/>
          <w:spacing w:val="0"/>
          <w:w w:val="1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47B53148"/>
    <w:rsid w:val="47B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2022-08-25T06:47:00Z</dcterms:created>
  <dc:creator> </dc:creator>
  <cp:lastModifiedBy> </cp:lastModifiedBy>
  <dcterms:modified xsi:type="dcterms:W3CDTF">2022-08-25T07:00:47Z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43F75D083E2941E3B6BE91B3012190E7</vt:lpwstr>
  </property>
</Properties>
</file>