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进一步做好</w:t>
      </w:r>
      <w:r>
        <w:rPr>
          <w:rFonts w:hint="eastAsia" w:ascii="宋体" w:hAnsi="宋体" w:eastAsia="宋体" w:cs="宋体"/>
          <w:b/>
          <w:sz w:val="44"/>
          <w:szCs w:val="44"/>
        </w:rPr>
        <w:t>全省老年人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太极拳教学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骨干</w:t>
      </w:r>
      <w:r>
        <w:rPr>
          <w:rFonts w:hint="eastAsia" w:ascii="宋体" w:hAnsi="宋体" w:eastAsia="宋体" w:cs="宋体"/>
          <w:b/>
          <w:sz w:val="44"/>
          <w:szCs w:val="44"/>
        </w:rPr>
        <w:t>培训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有关费用结算的办法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做好全省老年人太极拳教学骨干培训工作，并圆满完成对东岳太极拳的培训任务，省老体人体育协会将严格按照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《山东省体育局培训和出差管理办法》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等相关文件和中央八项规定的要求，制定培训有关费用结算的办法如下：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一、各市组织培训的有关费用及补助规定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（一）食宿费：各市组织培训时，按照每人每天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100元标准给予食宿经费补助，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人数不超过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80人（含培训老师），时间不超过4天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。培训结束后，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各市老体协要及时将参加培训人员的食宿费发票、明细单、签到表（加盖市老体协公章）等上报省老体协。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（二）场地租用费：各市组织培训时，若出现培训场地租用情况，省老体协将按照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2000元标准给予补助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，经费结算时要提供场地租用发票和场地租用合同复印件（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租用合同由各市老体协与场地提供方签定）。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（三）授课费：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省派各市主讲老师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的授课费按照每次培训的天数、标准等由省老体协参照国家有关规定执行，各市老体协负责填制主讲老师授课费领取单（姓名、开户银行及帐号、联系电话、签字）。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二、经费结算发票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凡是由省老体协承担的费用，均需开具国家正规发票，单位名称：山东省老年人体育协会；开户银行：济南市工商银行济南市中支行；税号：51370000MJD632211H。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三、经费结算时间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请各市老体协在当地培训结束15日内及时结算有关费用，过期不予受理。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四、经费结算咨询电话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省老年人体育协会财务部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联系人：纪丽娥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  话：0531-61379207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1271B"/>
    <w:rsid w:val="4A11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2021-09-17T01:51:00Z</dcterms:created>
  <dc:creator>Administrator</dc:creator>
  <cp:lastModifiedBy>Administrator</cp:lastModifiedBy>
  <dcterms:modified xsi:type="dcterms:W3CDTF">2021-09-17T01:52:09Z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6D73B3EAB09C41198A2B8924576C6704</vt:lpwstr>
  </property>
</Properties>
</file>